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6063" w:rsidRPr="006F15F5" w:rsidRDefault="00BA264B" w:rsidP="006C5634">
      <w:pPr>
        <w:numPr>
          <w:ilvl w:val="0"/>
          <w:numId w:val="1"/>
        </w:numPr>
        <w:tabs>
          <w:tab w:val="clear" w:pos="720"/>
          <w:tab w:val="num" w:pos="360"/>
        </w:tabs>
        <w:spacing w:before="240"/>
        <w:ind w:left="357" w:hanging="357"/>
        <w:jc w:val="both"/>
        <w:rPr>
          <w:rFonts w:ascii="Arial" w:hAnsi="Arial" w:cs="Arial"/>
          <w:sz w:val="22"/>
          <w:szCs w:val="22"/>
        </w:rPr>
      </w:pPr>
      <w:bookmarkStart w:id="0" w:name="_GoBack"/>
      <w:bookmarkEnd w:id="0"/>
      <w:r w:rsidRPr="006F15F5">
        <w:rPr>
          <w:rFonts w:ascii="Arial" w:hAnsi="Arial" w:cs="Arial"/>
          <w:sz w:val="22"/>
          <w:szCs w:val="22"/>
        </w:rPr>
        <w:t xml:space="preserve">The Government has committed </w:t>
      </w:r>
      <w:r w:rsidR="00B46063" w:rsidRPr="006F15F5">
        <w:rPr>
          <w:rFonts w:ascii="Arial" w:hAnsi="Arial" w:cs="Arial"/>
          <w:sz w:val="22"/>
          <w:szCs w:val="22"/>
        </w:rPr>
        <w:t xml:space="preserve">to review the current processes for the appointment of judicial officers in Queensland, and to consult extensively with stakeholders in the development of a protocol as to how judicial appointments ought to be made. </w:t>
      </w:r>
    </w:p>
    <w:p w:rsidR="00B46063" w:rsidRPr="006F15F5" w:rsidRDefault="00B46063" w:rsidP="006C5634">
      <w:pPr>
        <w:numPr>
          <w:ilvl w:val="0"/>
          <w:numId w:val="1"/>
        </w:numPr>
        <w:tabs>
          <w:tab w:val="clear" w:pos="720"/>
          <w:tab w:val="num" w:pos="360"/>
        </w:tabs>
        <w:spacing w:before="240"/>
        <w:ind w:left="360"/>
        <w:jc w:val="both"/>
        <w:rPr>
          <w:rFonts w:ascii="Arial" w:hAnsi="Arial" w:cs="Arial"/>
          <w:sz w:val="22"/>
          <w:szCs w:val="22"/>
        </w:rPr>
      </w:pPr>
      <w:r w:rsidRPr="006F15F5">
        <w:rPr>
          <w:rFonts w:ascii="Arial" w:hAnsi="Arial" w:cs="Arial"/>
          <w:sz w:val="22"/>
          <w:szCs w:val="22"/>
        </w:rPr>
        <w:t>To enhance the judicial appointments process in Queensland, a discussion paper was released in October 2015 seeking feedback on:</w:t>
      </w:r>
    </w:p>
    <w:p w:rsidR="00B46063" w:rsidRPr="006F15F5" w:rsidRDefault="00B46063" w:rsidP="006C5634">
      <w:pPr>
        <w:keepLines/>
        <w:numPr>
          <w:ilvl w:val="0"/>
          <w:numId w:val="5"/>
        </w:numPr>
        <w:spacing w:before="120"/>
        <w:jc w:val="both"/>
        <w:rPr>
          <w:rFonts w:ascii="Arial" w:hAnsi="Arial" w:cs="Arial"/>
          <w:sz w:val="22"/>
          <w:szCs w:val="22"/>
        </w:rPr>
      </w:pPr>
      <w:r w:rsidRPr="006F15F5">
        <w:rPr>
          <w:rFonts w:ascii="Arial" w:hAnsi="Arial" w:cs="Arial"/>
          <w:sz w:val="22"/>
          <w:szCs w:val="22"/>
        </w:rPr>
        <w:t>the skills, attributes and qualities (both personal, and professional) required of a judicial officer;</w:t>
      </w:r>
    </w:p>
    <w:p w:rsidR="00B46063" w:rsidRPr="006F15F5" w:rsidRDefault="00B46063" w:rsidP="006C5634">
      <w:pPr>
        <w:keepLines/>
        <w:numPr>
          <w:ilvl w:val="0"/>
          <w:numId w:val="5"/>
        </w:numPr>
        <w:spacing w:before="120"/>
        <w:jc w:val="both"/>
        <w:rPr>
          <w:rFonts w:ascii="Arial" w:hAnsi="Arial" w:cs="Arial"/>
          <w:sz w:val="22"/>
          <w:szCs w:val="22"/>
        </w:rPr>
      </w:pPr>
      <w:r w:rsidRPr="006F15F5">
        <w:rPr>
          <w:rFonts w:ascii="Arial" w:hAnsi="Arial" w:cs="Arial"/>
          <w:sz w:val="22"/>
          <w:szCs w:val="22"/>
        </w:rPr>
        <w:t>strategies that could be adopted for identifying suitable candidates for appointment; and</w:t>
      </w:r>
    </w:p>
    <w:p w:rsidR="00B46063" w:rsidRPr="006F15F5" w:rsidRDefault="00B46063" w:rsidP="006C5634">
      <w:pPr>
        <w:keepLines/>
        <w:numPr>
          <w:ilvl w:val="0"/>
          <w:numId w:val="5"/>
        </w:numPr>
        <w:spacing w:before="120"/>
        <w:jc w:val="both"/>
        <w:rPr>
          <w:rFonts w:ascii="Arial" w:hAnsi="Arial" w:cs="Arial"/>
          <w:sz w:val="22"/>
          <w:szCs w:val="22"/>
        </w:rPr>
      </w:pPr>
      <w:r w:rsidRPr="006F15F5">
        <w:rPr>
          <w:rFonts w:ascii="Arial" w:hAnsi="Arial" w:cs="Arial"/>
          <w:sz w:val="22"/>
          <w:szCs w:val="22"/>
        </w:rPr>
        <w:t xml:space="preserve">the best process for assessing judicial candidates. </w:t>
      </w:r>
    </w:p>
    <w:p w:rsidR="00CA36FF" w:rsidRPr="00894D91" w:rsidRDefault="00CA36FF" w:rsidP="006C5634">
      <w:pPr>
        <w:numPr>
          <w:ilvl w:val="0"/>
          <w:numId w:val="1"/>
        </w:numPr>
        <w:tabs>
          <w:tab w:val="clear" w:pos="720"/>
          <w:tab w:val="num" w:pos="360"/>
        </w:tabs>
        <w:spacing w:before="240"/>
        <w:ind w:left="360"/>
        <w:jc w:val="both"/>
        <w:rPr>
          <w:rFonts w:ascii="Arial" w:hAnsi="Arial" w:cs="Arial"/>
          <w:sz w:val="22"/>
          <w:szCs w:val="22"/>
        </w:rPr>
      </w:pPr>
      <w:r w:rsidRPr="00894D91">
        <w:rPr>
          <w:rFonts w:ascii="Arial" w:hAnsi="Arial" w:cs="Arial"/>
          <w:sz w:val="22"/>
          <w:szCs w:val="22"/>
        </w:rPr>
        <w:t xml:space="preserve">Having regard to the results of consultation, a protocol for judicial appointments was developed and is now published on the Courts website along with the details of judicial vacancies at any given time. The key features of the protocol are as follows: </w:t>
      </w:r>
    </w:p>
    <w:p w:rsidR="00CA36FF" w:rsidRPr="00894D91" w:rsidRDefault="00CA36FF" w:rsidP="006C5634">
      <w:pPr>
        <w:numPr>
          <w:ilvl w:val="0"/>
          <w:numId w:val="6"/>
        </w:numPr>
        <w:spacing w:before="120"/>
        <w:jc w:val="both"/>
        <w:rPr>
          <w:rFonts w:ascii="Arial" w:hAnsi="Arial" w:cs="Arial"/>
          <w:sz w:val="22"/>
          <w:szCs w:val="22"/>
        </w:rPr>
      </w:pPr>
      <w:r w:rsidRPr="00894D91">
        <w:rPr>
          <w:rFonts w:ascii="Arial" w:hAnsi="Arial" w:cs="Arial"/>
          <w:sz w:val="22"/>
          <w:szCs w:val="22"/>
        </w:rPr>
        <w:t xml:space="preserve">an advisory panel comprising a retired judicial officer (as chair), representatives of the </w:t>
      </w:r>
      <w:r w:rsidRPr="00894D91">
        <w:rPr>
          <w:rFonts w:ascii="Arial" w:hAnsi="Arial" w:cs="Arial"/>
          <w:sz w:val="22"/>
          <w:szCs w:val="22"/>
        </w:rPr>
        <w:br/>
        <w:t>Bar Association of Queensland and Q</w:t>
      </w:r>
      <w:r w:rsidR="00237BC0">
        <w:rPr>
          <w:rFonts w:ascii="Arial" w:hAnsi="Arial" w:cs="Arial"/>
          <w:sz w:val="22"/>
          <w:szCs w:val="22"/>
        </w:rPr>
        <w:t xml:space="preserve">ueensland </w:t>
      </w:r>
      <w:r w:rsidRPr="00894D91">
        <w:rPr>
          <w:rFonts w:ascii="Arial" w:hAnsi="Arial" w:cs="Arial"/>
          <w:sz w:val="22"/>
          <w:szCs w:val="22"/>
        </w:rPr>
        <w:t>L</w:t>
      </w:r>
      <w:r w:rsidR="00237BC0">
        <w:rPr>
          <w:rFonts w:ascii="Arial" w:hAnsi="Arial" w:cs="Arial"/>
          <w:sz w:val="22"/>
          <w:szCs w:val="22"/>
        </w:rPr>
        <w:t xml:space="preserve">aw </w:t>
      </w:r>
      <w:r w:rsidRPr="00894D91">
        <w:rPr>
          <w:rFonts w:ascii="Arial" w:hAnsi="Arial" w:cs="Arial"/>
          <w:sz w:val="22"/>
          <w:szCs w:val="22"/>
        </w:rPr>
        <w:t>S</w:t>
      </w:r>
      <w:r w:rsidR="00237BC0">
        <w:rPr>
          <w:rFonts w:ascii="Arial" w:hAnsi="Arial" w:cs="Arial"/>
          <w:sz w:val="22"/>
          <w:szCs w:val="22"/>
        </w:rPr>
        <w:t>ociety</w:t>
      </w:r>
      <w:r w:rsidRPr="00894D91">
        <w:rPr>
          <w:rFonts w:ascii="Arial" w:hAnsi="Arial" w:cs="Arial"/>
          <w:sz w:val="22"/>
          <w:szCs w:val="22"/>
        </w:rPr>
        <w:t>, and up to two community representatives;</w:t>
      </w:r>
    </w:p>
    <w:p w:rsidR="00CA36FF" w:rsidRPr="00894D91" w:rsidRDefault="00CA36FF" w:rsidP="006C5634">
      <w:pPr>
        <w:numPr>
          <w:ilvl w:val="0"/>
          <w:numId w:val="6"/>
        </w:numPr>
        <w:spacing w:before="120"/>
        <w:jc w:val="both"/>
        <w:rPr>
          <w:rFonts w:ascii="Arial" w:hAnsi="Arial" w:cs="Arial"/>
          <w:sz w:val="22"/>
          <w:szCs w:val="22"/>
        </w:rPr>
      </w:pPr>
      <w:r w:rsidRPr="00894D91">
        <w:rPr>
          <w:rFonts w:ascii="Arial" w:hAnsi="Arial" w:cs="Arial"/>
          <w:sz w:val="22"/>
          <w:szCs w:val="22"/>
        </w:rPr>
        <w:t>criteria for appointment;</w:t>
      </w:r>
    </w:p>
    <w:p w:rsidR="00CA36FF" w:rsidRPr="00894D91" w:rsidRDefault="00CA36FF" w:rsidP="006C5634">
      <w:pPr>
        <w:numPr>
          <w:ilvl w:val="0"/>
          <w:numId w:val="6"/>
        </w:numPr>
        <w:spacing w:before="120"/>
        <w:jc w:val="both"/>
        <w:rPr>
          <w:rFonts w:ascii="Arial" w:hAnsi="Arial" w:cs="Arial"/>
          <w:sz w:val="22"/>
          <w:szCs w:val="22"/>
        </w:rPr>
      </w:pPr>
      <w:r w:rsidRPr="00894D91">
        <w:rPr>
          <w:rFonts w:ascii="Arial" w:hAnsi="Arial" w:cs="Arial"/>
          <w:sz w:val="22"/>
          <w:szCs w:val="22"/>
        </w:rPr>
        <w:t>a register of expressions of interest for judicial appointment;</w:t>
      </w:r>
    </w:p>
    <w:p w:rsidR="00CA36FF" w:rsidRPr="00894D91" w:rsidRDefault="00CA36FF" w:rsidP="006C5634">
      <w:pPr>
        <w:numPr>
          <w:ilvl w:val="0"/>
          <w:numId w:val="6"/>
        </w:numPr>
        <w:spacing w:before="120"/>
        <w:jc w:val="both"/>
        <w:rPr>
          <w:rFonts w:ascii="Arial" w:hAnsi="Arial" w:cs="Arial"/>
          <w:sz w:val="22"/>
          <w:szCs w:val="22"/>
        </w:rPr>
      </w:pPr>
      <w:r w:rsidRPr="00894D91">
        <w:rPr>
          <w:rFonts w:ascii="Arial" w:hAnsi="Arial" w:cs="Arial"/>
          <w:sz w:val="22"/>
          <w:szCs w:val="22"/>
        </w:rPr>
        <w:t>the Attorney-General and Minister for Justice (Attorney-General) may nominate candidates for the advisory panel’s consideration, including those raised for consideration through consultation with heads of jurisdiction;</w:t>
      </w:r>
    </w:p>
    <w:p w:rsidR="00CA36FF" w:rsidRPr="00894D91" w:rsidRDefault="00CA36FF" w:rsidP="006C5634">
      <w:pPr>
        <w:numPr>
          <w:ilvl w:val="0"/>
          <w:numId w:val="6"/>
        </w:numPr>
        <w:spacing w:before="120"/>
        <w:jc w:val="both"/>
        <w:rPr>
          <w:rFonts w:ascii="Arial" w:hAnsi="Arial" w:cs="Arial"/>
          <w:sz w:val="22"/>
          <w:szCs w:val="22"/>
        </w:rPr>
      </w:pPr>
      <w:r w:rsidRPr="00894D91">
        <w:rPr>
          <w:rFonts w:ascii="Arial" w:hAnsi="Arial" w:cs="Arial"/>
          <w:sz w:val="22"/>
          <w:szCs w:val="22"/>
        </w:rPr>
        <w:t>a shortlist of recommended and suitable candidates presented by the advisory panel to the Attorney-General;</w:t>
      </w:r>
    </w:p>
    <w:p w:rsidR="00CA36FF" w:rsidRPr="00894D91" w:rsidRDefault="00CA36FF" w:rsidP="006C5634">
      <w:pPr>
        <w:numPr>
          <w:ilvl w:val="0"/>
          <w:numId w:val="6"/>
        </w:numPr>
        <w:spacing w:before="120"/>
        <w:jc w:val="both"/>
        <w:rPr>
          <w:rFonts w:ascii="Arial" w:hAnsi="Arial" w:cs="Arial"/>
          <w:sz w:val="22"/>
          <w:szCs w:val="22"/>
        </w:rPr>
      </w:pPr>
      <w:r w:rsidRPr="00894D91">
        <w:rPr>
          <w:rFonts w:ascii="Arial" w:hAnsi="Arial" w:cs="Arial"/>
          <w:sz w:val="22"/>
          <w:szCs w:val="22"/>
        </w:rPr>
        <w:t xml:space="preserve">mandatory consultation by the Attorney-General with the relevant head of jurisdiction, both before making nominations to the advisory panel and after receiving the advisory panel’s shortlist; and </w:t>
      </w:r>
    </w:p>
    <w:p w:rsidR="00CA36FF" w:rsidRPr="00894D91" w:rsidRDefault="00CA36FF" w:rsidP="006C5634">
      <w:pPr>
        <w:numPr>
          <w:ilvl w:val="0"/>
          <w:numId w:val="6"/>
        </w:numPr>
        <w:spacing w:before="120"/>
        <w:jc w:val="both"/>
        <w:rPr>
          <w:rFonts w:ascii="Arial" w:hAnsi="Arial" w:cs="Arial"/>
          <w:sz w:val="22"/>
          <w:szCs w:val="22"/>
        </w:rPr>
      </w:pPr>
      <w:r w:rsidRPr="00894D91">
        <w:rPr>
          <w:rFonts w:ascii="Arial" w:hAnsi="Arial" w:cs="Arial"/>
          <w:sz w:val="22"/>
          <w:szCs w:val="22"/>
        </w:rPr>
        <w:t>the Attorney-General retains discretion as to recommendations for appointment.</w:t>
      </w:r>
    </w:p>
    <w:p w:rsidR="00E973BC" w:rsidRPr="006F15F5" w:rsidRDefault="00E973BC" w:rsidP="006C5634">
      <w:pPr>
        <w:numPr>
          <w:ilvl w:val="0"/>
          <w:numId w:val="1"/>
        </w:numPr>
        <w:tabs>
          <w:tab w:val="clear" w:pos="720"/>
          <w:tab w:val="num" w:pos="360"/>
        </w:tabs>
        <w:spacing w:before="240"/>
        <w:ind w:left="360"/>
        <w:jc w:val="both"/>
        <w:rPr>
          <w:rFonts w:ascii="Arial" w:hAnsi="Arial" w:cs="Arial"/>
          <w:bCs/>
          <w:spacing w:val="-3"/>
          <w:sz w:val="22"/>
          <w:szCs w:val="22"/>
        </w:rPr>
      </w:pPr>
      <w:r w:rsidRPr="006F15F5">
        <w:rPr>
          <w:rFonts w:ascii="Arial" w:hAnsi="Arial" w:cs="Arial"/>
          <w:sz w:val="22"/>
          <w:szCs w:val="22"/>
          <w:u w:val="single"/>
        </w:rPr>
        <w:t>Cabinet approved</w:t>
      </w:r>
      <w:r w:rsidR="00B46063" w:rsidRPr="006F15F5">
        <w:rPr>
          <w:rFonts w:ascii="Arial" w:hAnsi="Arial" w:cs="Arial"/>
          <w:sz w:val="22"/>
          <w:szCs w:val="22"/>
        </w:rPr>
        <w:t xml:space="preserve"> </w:t>
      </w:r>
      <w:r w:rsidR="00BA5D1B">
        <w:rPr>
          <w:rFonts w:ascii="Arial" w:hAnsi="Arial" w:cs="Arial"/>
          <w:sz w:val="22"/>
          <w:szCs w:val="22"/>
        </w:rPr>
        <w:t>the</w:t>
      </w:r>
      <w:r w:rsidR="00D64155" w:rsidRPr="006F15F5">
        <w:rPr>
          <w:rFonts w:ascii="Arial" w:hAnsi="Arial" w:cs="Arial"/>
          <w:sz w:val="22"/>
          <w:szCs w:val="22"/>
        </w:rPr>
        <w:t xml:space="preserve"> </w:t>
      </w:r>
      <w:r w:rsidR="00B46063" w:rsidRPr="006F15F5">
        <w:rPr>
          <w:rFonts w:ascii="Arial" w:hAnsi="Arial" w:cs="Arial"/>
          <w:sz w:val="22"/>
          <w:szCs w:val="22"/>
        </w:rPr>
        <w:t>protocol for judicial appointments in Queensland</w:t>
      </w:r>
      <w:r w:rsidRPr="006F15F5">
        <w:rPr>
          <w:rFonts w:ascii="Arial" w:hAnsi="Arial" w:cs="Arial"/>
          <w:sz w:val="22"/>
          <w:szCs w:val="22"/>
        </w:rPr>
        <w:t>.</w:t>
      </w:r>
    </w:p>
    <w:p w:rsidR="00E973BC" w:rsidRPr="006F15F5" w:rsidRDefault="00E973BC" w:rsidP="006C5634">
      <w:pPr>
        <w:keepNext/>
        <w:numPr>
          <w:ilvl w:val="0"/>
          <w:numId w:val="1"/>
        </w:numPr>
        <w:tabs>
          <w:tab w:val="clear" w:pos="720"/>
          <w:tab w:val="num" w:pos="360"/>
        </w:tabs>
        <w:spacing w:before="360"/>
        <w:ind w:left="357" w:hanging="357"/>
        <w:jc w:val="both"/>
        <w:rPr>
          <w:rFonts w:ascii="Arial" w:hAnsi="Arial" w:cs="Arial"/>
          <w:sz w:val="22"/>
          <w:szCs w:val="22"/>
        </w:rPr>
      </w:pPr>
      <w:r w:rsidRPr="006F15F5">
        <w:rPr>
          <w:rFonts w:ascii="Arial" w:hAnsi="Arial" w:cs="Arial"/>
          <w:i/>
          <w:sz w:val="22"/>
          <w:szCs w:val="22"/>
          <w:u w:val="single"/>
        </w:rPr>
        <w:t>Attachments</w:t>
      </w:r>
    </w:p>
    <w:p w:rsidR="00E973BC" w:rsidRPr="00237BC0" w:rsidRDefault="003941A4" w:rsidP="006C5634">
      <w:pPr>
        <w:numPr>
          <w:ilvl w:val="0"/>
          <w:numId w:val="2"/>
        </w:numPr>
        <w:spacing w:before="120"/>
        <w:jc w:val="both"/>
        <w:rPr>
          <w:rFonts w:ascii="Arial" w:hAnsi="Arial" w:cs="Arial"/>
          <w:sz w:val="22"/>
          <w:szCs w:val="22"/>
        </w:rPr>
      </w:pPr>
      <w:hyperlink r:id="rId8" w:history="1">
        <w:r w:rsidR="00000B80" w:rsidRPr="007646A2">
          <w:rPr>
            <w:rStyle w:val="Hyperlink"/>
            <w:rFonts w:ascii="Arial" w:hAnsi="Arial" w:cs="Arial"/>
            <w:sz w:val="22"/>
            <w:szCs w:val="22"/>
          </w:rPr>
          <w:t>Protocol for j</w:t>
        </w:r>
        <w:r w:rsidR="00B46063" w:rsidRPr="007646A2">
          <w:rPr>
            <w:rStyle w:val="Hyperlink"/>
            <w:rFonts w:ascii="Arial" w:hAnsi="Arial" w:cs="Arial"/>
            <w:sz w:val="22"/>
            <w:szCs w:val="22"/>
          </w:rPr>
          <w:t>udicial appointment</w:t>
        </w:r>
        <w:r w:rsidR="00000B80" w:rsidRPr="007646A2">
          <w:rPr>
            <w:rStyle w:val="Hyperlink"/>
            <w:rFonts w:ascii="Arial" w:hAnsi="Arial" w:cs="Arial"/>
            <w:sz w:val="22"/>
            <w:szCs w:val="22"/>
          </w:rPr>
          <w:t>s</w:t>
        </w:r>
        <w:r w:rsidR="007646A2" w:rsidRPr="007646A2">
          <w:rPr>
            <w:rStyle w:val="Hyperlink"/>
            <w:rFonts w:ascii="Arial" w:hAnsi="Arial" w:cs="Arial"/>
            <w:sz w:val="22"/>
            <w:szCs w:val="22"/>
          </w:rPr>
          <w:t xml:space="preserve"> in Queensland</w:t>
        </w:r>
      </w:hyperlink>
    </w:p>
    <w:sectPr w:rsidR="00E973BC" w:rsidRPr="00237BC0" w:rsidSect="002745BF">
      <w:headerReference w:type="default" r:id="rId9"/>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2759" w:rsidRDefault="00502759" w:rsidP="00D6589B">
      <w:r>
        <w:separator/>
      </w:r>
    </w:p>
  </w:endnote>
  <w:endnote w:type="continuationSeparator" w:id="0">
    <w:p w:rsidR="00502759" w:rsidRDefault="00502759" w:rsidP="00D658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2759" w:rsidRDefault="00502759" w:rsidP="00D6589B">
      <w:r>
        <w:separator/>
      </w:r>
    </w:p>
  </w:footnote>
  <w:footnote w:type="continuationSeparator" w:id="0">
    <w:p w:rsidR="00502759" w:rsidRDefault="00502759" w:rsidP="00D658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15F5" w:rsidRPr="00937A4A" w:rsidRDefault="006F15F5" w:rsidP="006F15F5">
    <w:pPr>
      <w:pBdr>
        <w:top w:val="thinThickLargeGap" w:sz="24" w:space="4" w:color="auto"/>
        <w:left w:val="thinThickLargeGap" w:sz="24" w:space="4" w:color="auto"/>
        <w:bottom w:val="thickThinLargeGap" w:sz="24" w:space="4" w:color="auto"/>
        <w:right w:val="thickThinLargeGap" w:sz="24" w:space="4" w:color="auto"/>
      </w:pBdr>
      <w:jc w:val="center"/>
      <w:rPr>
        <w:rFonts w:ascii="Arial" w:hAnsi="Arial" w:cs="Arial"/>
        <w:b/>
        <w:color w:val="auto"/>
        <w:sz w:val="28"/>
        <w:szCs w:val="22"/>
        <w:lang w:eastAsia="en-US"/>
      </w:rPr>
    </w:pPr>
    <w:r w:rsidRPr="00937A4A">
      <w:rPr>
        <w:rFonts w:ascii="Arial" w:hAnsi="Arial" w:cs="Arial"/>
        <w:b/>
        <w:color w:val="auto"/>
        <w:sz w:val="28"/>
        <w:szCs w:val="22"/>
        <w:lang w:eastAsia="en-US"/>
      </w:rPr>
      <w:t>Queensland Government</w:t>
    </w:r>
  </w:p>
  <w:p w:rsidR="006F15F5" w:rsidRPr="00937A4A" w:rsidRDefault="006F15F5" w:rsidP="006F15F5">
    <w:pPr>
      <w:pBdr>
        <w:top w:val="thinThickLargeGap" w:sz="24" w:space="4" w:color="auto"/>
        <w:left w:val="thinThickLargeGap" w:sz="24" w:space="4" w:color="auto"/>
        <w:bottom w:val="thickThinLargeGap" w:sz="24" w:space="4" w:color="auto"/>
        <w:right w:val="thickThinLargeGap" w:sz="24" w:space="4" w:color="auto"/>
      </w:pBdr>
      <w:tabs>
        <w:tab w:val="center" w:pos="4320"/>
        <w:tab w:val="right" w:pos="8640"/>
        <w:tab w:val="right" w:pos="9072"/>
      </w:tabs>
      <w:rPr>
        <w:rFonts w:ascii="Arial" w:hAnsi="Arial" w:cs="Arial"/>
        <w:b/>
        <w:color w:val="auto"/>
        <w:sz w:val="14"/>
        <w:szCs w:val="22"/>
        <w:u w:val="single"/>
        <w:lang w:eastAsia="en-US"/>
      </w:rPr>
    </w:pPr>
  </w:p>
  <w:p w:rsidR="006F15F5" w:rsidRPr="00E75C40" w:rsidRDefault="006F15F5" w:rsidP="006C5634">
    <w:pPr>
      <w:pBdr>
        <w:top w:val="thinThickLargeGap" w:sz="24" w:space="4" w:color="auto"/>
        <w:left w:val="thinThickLargeGap" w:sz="24" w:space="4" w:color="auto"/>
        <w:bottom w:val="thickThinLargeGap" w:sz="24" w:space="4" w:color="auto"/>
        <w:right w:val="thickThinLargeGap" w:sz="24" w:space="4" w:color="auto"/>
      </w:pBdr>
      <w:tabs>
        <w:tab w:val="center" w:pos="0"/>
        <w:tab w:val="left" w:pos="860"/>
        <w:tab w:val="center" w:pos="4535"/>
      </w:tabs>
      <w:jc w:val="center"/>
      <w:rPr>
        <w:rFonts w:ascii="Arial" w:hAnsi="Arial" w:cs="Arial"/>
        <w:b/>
        <w:color w:val="auto"/>
        <w:sz w:val="22"/>
        <w:szCs w:val="22"/>
        <w:lang w:eastAsia="en-US"/>
      </w:rPr>
    </w:pPr>
    <w:r w:rsidRPr="00E75C40">
      <w:rPr>
        <w:rFonts w:ascii="Arial" w:hAnsi="Arial" w:cs="Arial"/>
        <w:b/>
        <w:color w:val="auto"/>
        <w:sz w:val="22"/>
        <w:szCs w:val="22"/>
        <w:lang w:eastAsia="en-US"/>
      </w:rPr>
      <w:t xml:space="preserve">Cabinet – </w:t>
    </w:r>
    <w:r w:rsidR="00B810CD" w:rsidRPr="00E75C40">
      <w:rPr>
        <w:rFonts w:ascii="Arial" w:hAnsi="Arial" w:cs="Arial"/>
        <w:b/>
        <w:color w:val="auto"/>
        <w:sz w:val="22"/>
        <w:szCs w:val="22"/>
        <w:lang w:eastAsia="en-US"/>
      </w:rPr>
      <w:t xml:space="preserve">June </w:t>
    </w:r>
    <w:r w:rsidRPr="00E75C40">
      <w:rPr>
        <w:rFonts w:ascii="Arial" w:hAnsi="Arial" w:cs="Arial"/>
        <w:b/>
        <w:color w:val="auto"/>
        <w:sz w:val="22"/>
        <w:szCs w:val="22"/>
        <w:lang w:eastAsia="en-US"/>
      </w:rPr>
      <w:t>2016</w:t>
    </w:r>
  </w:p>
  <w:p w:rsidR="006F15F5" w:rsidRDefault="006F15F5" w:rsidP="006F15F5">
    <w:pPr>
      <w:pStyle w:val="Header"/>
      <w:spacing w:before="120"/>
      <w:rPr>
        <w:rFonts w:ascii="Arial" w:hAnsi="Arial" w:cs="Arial"/>
        <w:b/>
        <w:sz w:val="22"/>
        <w:szCs w:val="22"/>
        <w:u w:val="single"/>
      </w:rPr>
    </w:pPr>
    <w:r>
      <w:rPr>
        <w:rFonts w:ascii="Arial" w:hAnsi="Arial" w:cs="Arial"/>
        <w:b/>
        <w:sz w:val="22"/>
        <w:szCs w:val="22"/>
        <w:u w:val="single"/>
      </w:rPr>
      <w:t>Protocol for judicial appointments</w:t>
    </w:r>
    <w:r w:rsidR="00B810CD">
      <w:rPr>
        <w:rFonts w:ascii="Arial" w:hAnsi="Arial" w:cs="Arial"/>
        <w:b/>
        <w:sz w:val="22"/>
        <w:szCs w:val="22"/>
        <w:u w:val="single"/>
      </w:rPr>
      <w:t xml:space="preserve"> in Queensland</w:t>
    </w:r>
  </w:p>
  <w:p w:rsidR="006F15F5" w:rsidRDefault="006F15F5" w:rsidP="006F15F5">
    <w:pPr>
      <w:pStyle w:val="Header"/>
      <w:spacing w:before="120"/>
      <w:rPr>
        <w:rFonts w:ascii="Arial" w:hAnsi="Arial" w:cs="Arial"/>
        <w:b/>
        <w:sz w:val="22"/>
        <w:szCs w:val="22"/>
        <w:u w:val="single"/>
      </w:rPr>
    </w:pPr>
    <w:r>
      <w:rPr>
        <w:rFonts w:ascii="Arial" w:hAnsi="Arial" w:cs="Arial"/>
        <w:b/>
        <w:sz w:val="22"/>
        <w:szCs w:val="22"/>
        <w:u w:val="single"/>
      </w:rPr>
      <w:t>Attorney-General and Minister for Justice and Minister for Training and Skills</w:t>
    </w:r>
  </w:p>
  <w:p w:rsidR="006F15F5" w:rsidRDefault="006F15F5" w:rsidP="006C5634">
    <w:pPr>
      <w:pStyle w:val="Header"/>
      <w:pBdr>
        <w:bottom w:val="single" w:sz="4" w:space="1"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EFC86AA0"/>
    <w:lvl w:ilvl="0">
      <w:numFmt w:val="decimal"/>
      <w:lvlText w:val="*"/>
      <w:lvlJc w:val="left"/>
    </w:lvl>
  </w:abstractNum>
  <w:abstractNum w:abstractNumId="1" w15:restartNumberingAfterBreak="0">
    <w:nsid w:val="09595A75"/>
    <w:multiLevelType w:val="hybridMultilevel"/>
    <w:tmpl w:val="159C434E"/>
    <w:lvl w:ilvl="0" w:tplc="0C090001">
      <w:start w:val="1"/>
      <w:numFmt w:val="bullet"/>
      <w:lvlText w:val=""/>
      <w:lvlJc w:val="left"/>
      <w:pPr>
        <w:tabs>
          <w:tab w:val="num" w:pos="720"/>
        </w:tabs>
        <w:ind w:left="720" w:hanging="360"/>
      </w:pPr>
      <w:rPr>
        <w:rFonts w:ascii="Symbol" w:hAnsi="Symbol" w:hint="default"/>
      </w:rPr>
    </w:lvl>
    <w:lvl w:ilvl="1" w:tplc="8F02EAEE">
      <w:start w:val="1"/>
      <w:numFmt w:val="decimal"/>
      <w:lvlText w:val="%2."/>
      <w:lvlJc w:val="left"/>
      <w:pPr>
        <w:tabs>
          <w:tab w:val="num" w:pos="1443"/>
        </w:tabs>
        <w:ind w:left="1443" w:hanging="363"/>
      </w:pPr>
      <w:rPr>
        <w:rFonts w:cs="Times New Roman" w:hint="default"/>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11702ACA"/>
    <w:multiLevelType w:val="hybridMultilevel"/>
    <w:tmpl w:val="66AE95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481C16A2"/>
    <w:multiLevelType w:val="hybridMultilevel"/>
    <w:tmpl w:val="E722C2C8"/>
    <w:lvl w:ilvl="0" w:tplc="0C090001">
      <w:start w:val="1"/>
      <w:numFmt w:val="bullet"/>
      <w:lvlText w:val=""/>
      <w:lvlJc w:val="left"/>
      <w:pPr>
        <w:tabs>
          <w:tab w:val="num" w:pos="720"/>
        </w:tabs>
        <w:ind w:left="720" w:hanging="360"/>
      </w:pPr>
      <w:rPr>
        <w:rFonts w:ascii="Symbol" w:hAnsi="Symbol" w:hint="default"/>
      </w:rPr>
    </w:lvl>
    <w:lvl w:ilvl="1" w:tplc="8F02EAEE">
      <w:start w:val="1"/>
      <w:numFmt w:val="decimal"/>
      <w:lvlText w:val="%2."/>
      <w:lvlJc w:val="left"/>
      <w:pPr>
        <w:tabs>
          <w:tab w:val="num" w:pos="1443"/>
        </w:tabs>
        <w:ind w:left="1443" w:hanging="363"/>
      </w:pPr>
      <w:rPr>
        <w:rFonts w:cs="Times New Roman" w:hint="default"/>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77427D55"/>
    <w:multiLevelType w:val="hybridMultilevel"/>
    <w:tmpl w:val="E79E3230"/>
    <w:lvl w:ilvl="0" w:tplc="B7A0238C">
      <w:start w:val="1"/>
      <w:numFmt w:val="bullet"/>
      <w:lvlText w:val=""/>
      <w:lvlJc w:val="left"/>
      <w:pPr>
        <w:tabs>
          <w:tab w:val="num" w:pos="814"/>
        </w:tabs>
        <w:ind w:left="814" w:hanging="454"/>
      </w:pPr>
      <w:rPr>
        <w:rFonts w:ascii="Symbol" w:hAnsi="Symbol" w:hint="default"/>
        <w:color w:val="auto"/>
        <w:sz w:val="23"/>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7F176F87"/>
    <w:multiLevelType w:val="hybridMultilevel"/>
    <w:tmpl w:val="2396ACA6"/>
    <w:lvl w:ilvl="0" w:tplc="0C09000F">
      <w:start w:val="1"/>
      <w:numFmt w:val="decimal"/>
      <w:lvlText w:val="%1."/>
      <w:lvlJc w:val="left"/>
      <w:pPr>
        <w:tabs>
          <w:tab w:val="num" w:pos="720"/>
        </w:tabs>
        <w:ind w:left="720" w:hanging="360"/>
      </w:pPr>
      <w:rPr>
        <w:rFonts w:cs="Times New Roman"/>
      </w:rPr>
    </w:lvl>
    <w:lvl w:ilvl="1" w:tplc="8F02EAEE">
      <w:start w:val="1"/>
      <w:numFmt w:val="decimal"/>
      <w:lvlText w:val="%2."/>
      <w:lvlJc w:val="left"/>
      <w:pPr>
        <w:tabs>
          <w:tab w:val="num" w:pos="1443"/>
        </w:tabs>
        <w:ind w:left="1443" w:hanging="363"/>
      </w:pPr>
      <w:rPr>
        <w:rFonts w:cs="Times New Roman" w:hint="default"/>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num w:numId="1">
    <w:abstractNumId w:val="5"/>
  </w:num>
  <w:num w:numId="2">
    <w:abstractNumId w:val="4"/>
  </w:num>
  <w:num w:numId="3">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4">
    <w:abstractNumId w:val="2"/>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removePersonalInformation/>
  <w:removeDateAndTime/>
  <w:defaultTabStop w:val="720"/>
  <w:characterSpacingControl w:val="doNotCompress"/>
  <w:hdrShapeDefaults>
    <o:shapedefaults v:ext="edit" spidmax="174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35F5"/>
    <w:rsid w:val="00000B80"/>
    <w:rsid w:val="000430DD"/>
    <w:rsid w:val="00080F8F"/>
    <w:rsid w:val="0008575A"/>
    <w:rsid w:val="00102858"/>
    <w:rsid w:val="001318FA"/>
    <w:rsid w:val="00140936"/>
    <w:rsid w:val="00174117"/>
    <w:rsid w:val="001E209B"/>
    <w:rsid w:val="001E7127"/>
    <w:rsid w:val="001E77CD"/>
    <w:rsid w:val="001F54E6"/>
    <w:rsid w:val="0021344B"/>
    <w:rsid w:val="00237BC0"/>
    <w:rsid w:val="002745BF"/>
    <w:rsid w:val="0027598D"/>
    <w:rsid w:val="002D649F"/>
    <w:rsid w:val="00355DB6"/>
    <w:rsid w:val="003941A4"/>
    <w:rsid w:val="003A13A1"/>
    <w:rsid w:val="003B5871"/>
    <w:rsid w:val="003D32B6"/>
    <w:rsid w:val="004565A2"/>
    <w:rsid w:val="004E3AE1"/>
    <w:rsid w:val="004E71E9"/>
    <w:rsid w:val="00501C66"/>
    <w:rsid w:val="00502759"/>
    <w:rsid w:val="0050474C"/>
    <w:rsid w:val="00550873"/>
    <w:rsid w:val="00551EB3"/>
    <w:rsid w:val="00654B0A"/>
    <w:rsid w:val="00690400"/>
    <w:rsid w:val="006C5634"/>
    <w:rsid w:val="006F15F5"/>
    <w:rsid w:val="006F35F5"/>
    <w:rsid w:val="00732E22"/>
    <w:rsid w:val="00757B12"/>
    <w:rsid w:val="007646A2"/>
    <w:rsid w:val="00795A7C"/>
    <w:rsid w:val="007D2E74"/>
    <w:rsid w:val="00821E64"/>
    <w:rsid w:val="00894D91"/>
    <w:rsid w:val="008A4523"/>
    <w:rsid w:val="008F44CD"/>
    <w:rsid w:val="0093748E"/>
    <w:rsid w:val="009940E5"/>
    <w:rsid w:val="009B2D98"/>
    <w:rsid w:val="009B2EFB"/>
    <w:rsid w:val="00A527A5"/>
    <w:rsid w:val="00A820B4"/>
    <w:rsid w:val="00AB41F2"/>
    <w:rsid w:val="00AD7250"/>
    <w:rsid w:val="00AE69F0"/>
    <w:rsid w:val="00B27A80"/>
    <w:rsid w:val="00B46063"/>
    <w:rsid w:val="00B627A9"/>
    <w:rsid w:val="00B810CD"/>
    <w:rsid w:val="00BA264B"/>
    <w:rsid w:val="00BA5D1B"/>
    <w:rsid w:val="00C07656"/>
    <w:rsid w:val="00C40FB0"/>
    <w:rsid w:val="00C75E67"/>
    <w:rsid w:val="00CA36FF"/>
    <w:rsid w:val="00CB1501"/>
    <w:rsid w:val="00CC6486"/>
    <w:rsid w:val="00CE6FBA"/>
    <w:rsid w:val="00CF0D8A"/>
    <w:rsid w:val="00D64155"/>
    <w:rsid w:val="00D6589B"/>
    <w:rsid w:val="00D75134"/>
    <w:rsid w:val="00DB0DDC"/>
    <w:rsid w:val="00DB6FE7"/>
    <w:rsid w:val="00DC1669"/>
    <w:rsid w:val="00DE61EC"/>
    <w:rsid w:val="00E40004"/>
    <w:rsid w:val="00E4327E"/>
    <w:rsid w:val="00E75C40"/>
    <w:rsid w:val="00E973BC"/>
    <w:rsid w:val="00EC7FB0"/>
    <w:rsid w:val="00EE5885"/>
    <w:rsid w:val="00F0095A"/>
    <w:rsid w:val="00F10DF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AU" w:eastAsia="en-A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589B"/>
    <w:rPr>
      <w:rFonts w:ascii="Times New Roman" w:hAnsi="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6589B"/>
    <w:pPr>
      <w:tabs>
        <w:tab w:val="center" w:pos="4513"/>
        <w:tab w:val="right" w:pos="9026"/>
      </w:tabs>
    </w:pPr>
  </w:style>
  <w:style w:type="character" w:customStyle="1" w:styleId="HeaderChar">
    <w:name w:val="Header Char"/>
    <w:link w:val="Header"/>
    <w:locked/>
    <w:rsid w:val="00D6589B"/>
    <w:rPr>
      <w:rFonts w:cs="Times New Roman"/>
    </w:rPr>
  </w:style>
  <w:style w:type="paragraph" w:styleId="Footer">
    <w:name w:val="footer"/>
    <w:basedOn w:val="Normal"/>
    <w:link w:val="FooterChar"/>
    <w:semiHidden/>
    <w:rsid w:val="00D6589B"/>
    <w:pPr>
      <w:tabs>
        <w:tab w:val="center" w:pos="4513"/>
        <w:tab w:val="right" w:pos="9026"/>
      </w:tabs>
    </w:pPr>
  </w:style>
  <w:style w:type="character" w:customStyle="1" w:styleId="FooterChar">
    <w:name w:val="Footer Char"/>
    <w:link w:val="Footer"/>
    <w:semiHidden/>
    <w:locked/>
    <w:rsid w:val="00D6589B"/>
    <w:rPr>
      <w:rFonts w:cs="Times New Roman"/>
    </w:rPr>
  </w:style>
  <w:style w:type="paragraph" w:styleId="BalloonText">
    <w:name w:val="Balloon Text"/>
    <w:basedOn w:val="Normal"/>
    <w:link w:val="BalloonTextChar"/>
    <w:semiHidden/>
    <w:rsid w:val="00D6589B"/>
    <w:rPr>
      <w:rFonts w:ascii="Tahoma" w:hAnsi="Tahoma" w:cs="Tahoma"/>
      <w:sz w:val="16"/>
      <w:szCs w:val="16"/>
    </w:rPr>
  </w:style>
  <w:style w:type="character" w:customStyle="1" w:styleId="BalloonTextChar">
    <w:name w:val="Balloon Text Char"/>
    <w:link w:val="BalloonText"/>
    <w:semiHidden/>
    <w:locked/>
    <w:rsid w:val="00D6589B"/>
    <w:rPr>
      <w:rFonts w:ascii="Tahoma" w:hAnsi="Tahoma" w:cs="Tahoma"/>
      <w:sz w:val="16"/>
      <w:szCs w:val="16"/>
    </w:rPr>
  </w:style>
  <w:style w:type="paragraph" w:styleId="ListParagraph">
    <w:name w:val="List Paragraph"/>
    <w:basedOn w:val="Normal"/>
    <w:uiPriority w:val="34"/>
    <w:qFormat/>
    <w:rsid w:val="00CA36FF"/>
    <w:pPr>
      <w:overflowPunct w:val="0"/>
      <w:autoSpaceDE w:val="0"/>
      <w:autoSpaceDN w:val="0"/>
      <w:adjustRightInd w:val="0"/>
      <w:ind w:left="720"/>
      <w:contextualSpacing/>
      <w:textAlignment w:val="baseline"/>
    </w:pPr>
    <w:rPr>
      <w:rFonts w:ascii="Arial" w:eastAsia="Times New Roman" w:hAnsi="Arial"/>
      <w:color w:val="auto"/>
      <w:sz w:val="22"/>
      <w:lang w:eastAsia="en-US"/>
    </w:rPr>
  </w:style>
  <w:style w:type="character" w:styleId="Hyperlink">
    <w:name w:val="Hyperlink"/>
    <w:rsid w:val="00CA36FF"/>
    <w:rPr>
      <w:color w:val="0563C1"/>
      <w:u w:val="single"/>
    </w:rPr>
  </w:style>
  <w:style w:type="character" w:styleId="FollowedHyperlink">
    <w:name w:val="FollowedHyperlink"/>
    <w:rsid w:val="002745BF"/>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Attachments/Protocol.PD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121DB8-7E6D-40E7-B26E-230268728A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269</Words>
  <Characters>1643</Characters>
  <Application>Microsoft Office Word</Application>
  <DocSecurity>0</DocSecurity>
  <Lines>29</Lines>
  <Paragraphs>16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1912</CharactersWithSpaces>
  <SharedDoc>false</SharedDoc>
  <HyperlinkBase>https://www.cabinet.qld.gov.au/documents/2016/Jun/JudApPro/</HyperlinkBase>
  <HLinks>
    <vt:vector size="6" baseType="variant">
      <vt:variant>
        <vt:i4>6029395</vt:i4>
      </vt:variant>
      <vt:variant>
        <vt:i4>0</vt:i4>
      </vt:variant>
      <vt:variant>
        <vt:i4>0</vt:i4>
      </vt:variant>
      <vt:variant>
        <vt:i4>5</vt:i4>
      </vt:variant>
      <vt:variant>
        <vt:lpwstr>Attachments/Protocol.PDF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2</cp:revision>
  <cp:lastPrinted>2016-12-12T01:07:00Z</cp:lastPrinted>
  <dcterms:created xsi:type="dcterms:W3CDTF">2017-10-25T01:49:00Z</dcterms:created>
  <dcterms:modified xsi:type="dcterms:W3CDTF">2018-03-06T01:36:00Z</dcterms:modified>
  <cp:category>Justice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305315804</vt:i4>
  </property>
  <property fmtid="{D5CDD505-2E9C-101B-9397-08002B2CF9AE}" pid="3" name="_NewReviewCycle">
    <vt:lpwstr/>
  </property>
  <property fmtid="{D5CDD505-2E9C-101B-9397-08002B2CF9AE}" pid="4" name="_PreviousAdHocReviewCycleID">
    <vt:i4>-731068445</vt:i4>
  </property>
  <property fmtid="{D5CDD505-2E9C-101B-9397-08002B2CF9AE}" pid="5" name="_ReviewingToolsShownOnce">
    <vt:lpwstr/>
  </property>
</Properties>
</file>